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80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11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.12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«О перераспределении бюджетных ассигнований </w:t>
      </w:r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областного</w:t>
        <w:br/>
        <w:t>бюджета Ульяновской области»</w:t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декаб</w:t>
      </w:r>
      <w:r>
        <w:rPr>
          <w:rFonts w:ascii="PT Astra Serif" w:hAnsi="PT Astra Serif"/>
          <w:sz w:val="28"/>
          <w:szCs w:val="28"/>
          <w:lang w:val="ru-RU"/>
        </w:rPr>
        <w:t xml:space="preserve">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О перераспределении бюджетных ассигнований 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областного бюджета Ульяновской области»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департамента финансов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. </w:t>
      </w:r>
    </w:p>
    <w:p>
      <w:pPr>
        <w:pStyle w:val="Normal"/>
        <w:widowControl/>
        <w:suppressAutoHyphens w:val="true"/>
        <w:overflowPunct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MS Mincho;ＭＳ 明朝" w:ascii="PT Astra Serif" w:hAnsi="PT Astra Serif"/>
          <w:b w:val="false"/>
          <w:bCs w:val="false"/>
          <w:sz w:val="28"/>
          <w:szCs w:val="28"/>
          <w:lang w:eastAsia="zh-CN"/>
        </w:rPr>
        <w:t xml:space="preserve">Проект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разработан в целях перераспределения в 2023 году бюджетных ассигнований областного бюджета Ульяновской области без внесения изменений в Закон Ульяновской области от 08.12.2022 № 119-ЗО</w:t>
        <w:br/>
        <w:t xml:space="preserve">«Об областном бюджете Ульяновской области на 2023 год и плановый период 2024 и 2025 годов», предусмотренных </w:t>
      </w:r>
      <w:r>
        <w:rPr>
          <w:rFonts w:eastAsia="MS Mincho;ＭＳ 明朝" w:cs="Arial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Министерству жилищно-коммунального хозяйства и строительства Ульяновской области</w:t>
        <w:br/>
        <w:t>на предоставление субсидий в виде имущественного взноса из областного бюджета Ульяновской области в имущество публично-правовой компании «Фонд развития территорий»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, утверждённой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</w:t>
        <w:br/>
        <w:t>и архитектуры Ульяновской области» в размере  259678,500 тыс. рублей,</w:t>
        <w:br/>
        <w:t>в связи с невостребованностью в 2023 году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 </w:t>
      </w: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Application>LibreOffice/6.4.7.2$Linux_X86_64 LibreOffice_project/40$Build-2</Application>
  <Pages>1</Pages>
  <Words>241</Words>
  <Characters>1941</Characters>
  <CharactersWithSpaces>2216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2023-12-11T16:24:33Z</cp:lastPrinted>
  <dcterms:modified xsi:type="dcterms:W3CDTF">2023-12-11T16:24:41Z</dcterms:modified>
  <cp:revision>93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